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400"/>
        <w:jc w:val="center"/>
      </w:pPr>
      <w:r>
        <w:rPr>
          <w:rFonts w:ascii="Inter" w:cs="Inter" w:eastAsia="Inter" w:hAnsi="Inter"/>
          <w:b/>
          <w:bCs/>
          <w:color w:val="0284c7"/>
          <w:sz w:val="72"/>
          <w:szCs w:val="72"/>
        </w:rPr>
        <w:t xml:space="preserve">Pre-emptive Ownership Pact (POP)</w:t>
      </w:r>
    </w:p>
    <w:p>
      <w:pPr>
        <w:spacing w:after="800"/>
        <w:jc w:val="center"/>
      </w:pPr>
      <w:r>
        <w:rPr>
          <w:rFonts w:ascii="Inter" w:cs="Inter" w:eastAsia="Inter" w:hAnsi="Inter"/>
          <w:color w:val="6b7280"/>
          <w:sz w:val="32"/>
          <w:szCs w:val="32"/>
        </w:rPr>
        <w:t xml:space="preserve">Governance template for outcome alignment</w:t>
      </w:r>
    </w:p>
    <w:p>
      <w:pPr>
        <w:spacing w:before="4000"/>
      </w:pPr>
    </w:p>
    <w:p>
      <w:pPr>
        <w:spacing w:after="200"/>
        <w:jc w:val="center"/>
      </w:pPr>
      <w:r>
        <w:rPr>
          <w:rFonts w:ascii="Inter" w:cs="Inter" w:eastAsia="Inter" w:hAnsi="Inter"/>
          <w:color w:val="0ea5e9"/>
          <w:sz w:val="28"/>
          <w:szCs w:val="28"/>
        </w:rPr>
        <w:t xml:space="preserve">contribution2outcome.com</w:t>
      </w:r>
    </w:p>
    <w:p>
      <w:pPr>
        <w:spacing w:after="100"/>
        <w:jc w:val="center"/>
      </w:pPr>
      <w:r>
        <w:rPr>
          <w:rFonts w:ascii="Inter" w:cs="Inter" w:eastAsia="Inter" w:hAnsi="Inter"/>
          <w:color w:val="9ca3af"/>
          <w:sz w:val="22"/>
          <w:szCs w:val="22"/>
        </w:rPr>
        <w:t xml:space="preserve">December 17, 2025</w:t>
      </w:r>
    </w:p>
    <w:p>
      <w:pPr>
        <w:jc w:val="center"/>
      </w:pPr>
      <w:r>
        <w:rPr>
          <w:rFonts w:ascii="Inter" w:cs="Inter" w:eastAsia="Inter" w:hAnsi="Inter"/>
          <w:color w:val="9ca3af"/>
          <w:sz w:val="20"/>
          <w:szCs w:val="20"/>
        </w:rPr>
        <w:t xml:space="preserve">Version 1.0</w:t>
      </w:r>
    </w:p>
    <w:p>
      <w:pPr>
        <w:spacing w:before="100"/>
        <w:jc w:val="center"/>
      </w:pPr>
      <w:r>
        <w:rPr>
          <w:rFonts w:ascii="Inter" w:cs="Inter" w:eastAsia="Inter" w:hAnsi="Inter"/>
          <w:color w:val="9ca3af"/>
          <w:sz w:val="20"/>
          <w:szCs w:val="20"/>
        </w:rPr>
        <w:t xml:space="preserve">Owner: Stark Burns</w:t>
      </w:r>
    </w:p>
    <w:p>
      <w:pPr>
        <w:spacing w:before="600"/>
      </w:pPr>
    </w:p>
    <w:p>
      <w:pPr>
        <w:pBdr>
          <w:top w:val="single" w:color="7dd3fc" w:sz="6"/>
          <w:bottom w:val="single" w:color="7dd3fc" w:sz="6"/>
          <w:left w:val="single" w:color="7dd3fc" w:sz="6"/>
          <w:right w:val="single" w:color="7dd3fc" w:sz="6"/>
        </w:pBdr>
        <w:shd w:color="f0f9ff" w:val="solid"/>
        <w:spacing w:before="400" w:after="100"/>
        <w:jc w:val="center"/>
      </w:pPr>
      <w:r>
        <w:rPr>
          <w:rFonts w:ascii="Inter" w:cs="Inter" w:eastAsia="Inter" w:hAnsi="Inter"/>
          <w:b/>
          <w:bCs/>
          <w:color w:val="0369a1"/>
          <w:sz w:val="20"/>
          <w:szCs w:val="20"/>
        </w:rPr>
        <w:t xml:space="preserve">SOURCE REFERENCE</w:t>
      </w:r>
    </w:p>
    <w:p>
      <w:pPr>
        <w:pBdr>
          <w:left w:val="single" w:color="7dd3fc" w:sz="6"/>
          <w:right w:val="single" w:color="7dd3fc" w:sz="6"/>
        </w:pBdr>
        <w:shd w:color="f0f9ff" w:val="solid"/>
        <w:jc w:val="center"/>
      </w:pPr>
      <w:r>
        <w:rPr>
          <w:rFonts w:ascii="Inter" w:cs="Inter" w:eastAsia="Inter" w:hAnsi="Inter"/>
          <w:color w:val="6b7280"/>
          <w:sz w:val="18"/>
          <w:szCs w:val="18"/>
        </w:rPr>
        <w:t xml:space="preserve">Full guidance, examples, and updates:</w:t>
      </w:r>
    </w:p>
    <w:p>
      <w:pPr>
        <w:pBdr>
          <w:bottom w:val="single" w:color="7dd3fc" w:sz="6"/>
          <w:left w:val="single" w:color="7dd3fc" w:sz="6"/>
          <w:right w:val="single" w:color="7dd3fc" w:sz="6"/>
        </w:pBdr>
        <w:shd w:color="f0f9ff" w:val="solid"/>
        <w:spacing w:after="200"/>
        <w:jc w:val="center"/>
      </w:pPr>
      <w:hyperlink w:history="1" r:id="rId7zr8kd0fmglwez1uknp3q">
        <w:r>
          <w:rPr>
            <w:rFonts w:ascii="Inter" w:cs="Inter" w:eastAsia="Inter" w:hAnsi="Inter"/>
            <w:color w:val="0284c7"/>
            <w:sz w:val="20"/>
            <w:szCs w:val="20"/>
            <w:u w:val="single"/>
          </w:rPr>
          <w:t xml:space="preserve">contribution2outcome.com/kb/framework-method/decision-rights/charters-and-matrices</w:t>
        </w:r>
      </w:hyperlink>
    </w:p>
    <w:p>
      <w:r>
        <w:br w:type="page"/>
      </w:r>
    </w:p>
    <w:p>
      <w:pPr>
        <w:pStyle w:val="Heading1"/>
        <w:spacing w:before="200" w:after="200"/>
      </w:pPr>
      <w:r>
        <w:rPr>
          <w:rFonts w:ascii="Inter" w:cs="Inter" w:eastAsia="Inter" w:hAnsi="Inter"/>
          <w:b/>
          <w:bCs/>
          <w:color w:val="0369a1"/>
        </w:rPr>
        <w:t xml:space="preserve">Executive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5%"/>
            <w:shd w:color="f0f9ff" w:val="solid"/>
          </w:tcPr>
          <w:p>
            <w:r>
              <w:rPr>
                <w:rFonts w:ascii="Inter" w:cs="Inter" w:eastAsia="Inter" w:hAnsi="Inter"/>
                <w:b/>
                <w:bCs/>
                <w:color w:val="0369a1"/>
                <w:sz w:val="20"/>
                <w:szCs w:val="20"/>
              </w:rPr>
              <w:t xml:space="preserve">Overview</w:t>
            </w:r>
          </w:p>
        </w:tc>
        <w:tc>
          <w:tcPr>
            <w:tcW w:type="pct" w:w="75%"/>
          </w:tcPr>
          <w:p>
            <w:r>
              <w:rPr>
                <w:rFonts w:ascii="Inter" w:cs="Inter" w:eastAsia="Inter" w:hAnsi="Inter"/>
                <w:color w:val="1f2937"/>
                <w:sz w:val="20"/>
                <w:szCs w:val="20"/>
              </w:rPr>
              <w:t xml:space="preserve">Fillable template for creating Pre-emptive Ownership Pacts with decision protocols.</w:t>
            </w:r>
          </w:p>
        </w:tc>
      </w:tr>
    </w:tbl>
    <w:p>
      <w:pPr>
        <w:spacing w:after="300"/>
      </w:pP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A POP is a lightweight agreement that establishes decision rights, thresholds, and escalation triggers before work begins. It prevents "who owns this?" debates by making accountability explicit per phase.</w:t>
      </w: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Quick Reference: POP vs Traditional Charters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Traditional Charter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Pre-emptive Ownership Pact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Lists all stakeholders equally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Names one Driver per phase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Vague "accountability" statements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Explicit thresholds and triggers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Static roles throughout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Dynamic verbs that change by phase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Escalation by opinion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Escalation by threshold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Updated rarely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Refreshed at phase gates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Key difference:</w:t>
      </w:r>
      <w:r>
        <w:rPr>
          <w:rFonts w:ascii="Inter" w:cs="Inter" w:eastAsia="Inter" w:hAnsi="Inter"/>
          <w:sz w:val="22"/>
          <w:szCs w:val="22"/>
        </w:rPr>
        <w:t xml:space="preserve"> A POP assigns authority </w:t>
      </w:r>
      <w:r>
        <w:rPr>
          <w:rFonts w:ascii="Inter" w:cs="Inter" w:eastAsia="Inter" w:hAnsi="Inter"/>
          <w:i/>
          <w:iCs/>
          <w:sz w:val="22"/>
          <w:szCs w:val="22"/>
        </w:rPr>
        <w:t xml:space="preserve">before</w:t>
      </w:r>
      <w:r>
        <w:rPr>
          <w:rFonts w:ascii="Inter" w:cs="Inter" w:eastAsia="Inter" w:hAnsi="Inter"/>
          <w:sz w:val="22"/>
          <w:szCs w:val="22"/>
        </w:rPr>
        <w:t xml:space="preserve"> decisions arise, not during debates.</w:t>
      </w: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POP Quality Checklist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Before finalizing, verify: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One Driver named per phase (never co-Drivers)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Thresholds are numeric or objective (not "significant" or "major")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Escalation actions are explicit (rollback, pause, escalate)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Advice windows have SLAs (24–72h)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Record format is defined (five bullets + links)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Review cadence is scheduled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Sponsor can resolve escalations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Document Context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Document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Reference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Outcome Definition Worksheet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Link to your Outcome Definition Worksheet — the foundation for this POP]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Contribution Mapping Canvas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Link to your Contribution Mapping Canvas]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C2O Matrix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Link to your C2O Outcome Matrix, if applicable]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Related POPs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Links to related initiative POPs, if this is part of a larger program]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1: Initiative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Field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Your Input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Initiative Name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Your project/product name — e.g., "Mobile Payment Redesign"]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Sponsor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Executive accountable for initiative success — e.g., "Alice Chen (VP Product)"]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Timeframe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Start and end dates or quarters — e.g., "Q1-Q2 2025"]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Primary Outcome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One sentence — e.g., "New users complete first purchase in &lt;5 min without support"]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Success Signals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Key metrics — e.g., "D7 activation ≥40%; Support tickets &lt;2% of transactions"]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Key Constraints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[INPUT: Budget, timeline, compliance, dependencies]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2: Outcome Definitions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Define 1–3 measurable outcomes. See the </w:t>
      </w:r>
      <w:r>
        <w:rPr>
          <w:rFonts w:ascii="Inter" w:cs="Inter" w:eastAsia="Inter" w:hAnsi="Inter"/>
          <w:sz w:val="22"/>
          <w:szCs w:val="22"/>
        </w:rPr>
        <w:t xml:space="preserve">Outcome Definition Worksheet</w:t>
      </w:r>
      <w:r>
        <w:rPr>
          <w:rFonts w:ascii="Inter" w:cs="Inter" w:eastAsia="Inter" w:hAnsi="Inter"/>
          <w:sz w:val="22"/>
          <w:szCs w:val="22"/>
        </w:rPr>
        <w:t xml:space="preserve"> for guidance.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Outcome 1 (Primary)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Field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Value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Outcome Statement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"[Who] will [observable behavior] by [when], evidenced by [signal]"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Acceptance Criteria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1. &lt;br&gt; 2. &lt;br&gt; 3.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Leading Signals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Lagging Signals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Outcome 2 (Secondary, optional)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Field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Value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Outcome Statement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Acceptance Criteria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1. &lt;br&gt; 2.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Leading Signals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Lagging Signals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3: Contribution Map by Lifecycle Phase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C2O Verbs Reference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Verb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Meaning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Key Trait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Drive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Accountable for phase outcome; decides within thresholds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One Driver per phase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Contribute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Delivers the work (code, research, design)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Material delivery, not opinions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Enable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Provides tools, platforms, expertise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Partners, not gatekeepers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Advise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Provides input within bounded windows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Input to decisions, not vetoes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Inform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Receives updates; no action required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One-way communication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Contribution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Drive (D)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Contribute (C)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Enable (E)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Advise (A)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Inform (I)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Discover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Decide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Build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Run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Adopt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Guidance: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Name specific people, not teams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Each phase must have exactly one Driver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Contributors do material work; Advisors provide input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Enablers unblock; they don't approve</w:t>
      </w:r>
    </w:p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Example Matrix (Self-Serve Onboarding)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Drive (D)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Contribute (C)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Enable (E)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Advise (A)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Inform (I)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Discover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Alice (PM)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Research, UX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Platform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Security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Leadership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Decide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Alice (PM)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Engineering, UX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Platform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Architecture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Leadership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Build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Bob (TL)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Engineering, QA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Platform, DevOps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Security, Privacy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PM, Leadership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Run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Carlos (SRE)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Engineering, Support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Platform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Security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PM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Adopt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Alice (PM)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PMM, Support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Training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Leadership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Engineering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4: Phase Charter (Current Phase)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Fill this out for the current phase. Create a new charter when you transition phases.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Phase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Field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Value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Discover / Decide / Build / Run / Adopt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[Name]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Sponsor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[Name]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Phase Window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/>
                <w:iCs/>
                <w:color w:val="0284c7"/>
                <w:sz w:val="22"/>
                <w:szCs w:val="22"/>
              </w:rPr>
              <w:t xml:space="preserve">[Start date] → [End date]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In Scope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Out of Scope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Decision Authority (Within Thresholds)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Decision Type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Authority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0284c7"/>
                <w:sz w:val="22"/>
                <w:szCs w:val="22"/>
              </w:rPr>
              <w:t xml:space="preserve">[Slice scope adjustments]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decides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0284c7"/>
                <w:sz w:val="22"/>
                <w:szCs w:val="22"/>
              </w:rPr>
              <w:t xml:space="preserve">[Resource allocation]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decides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0284c7"/>
                <w:sz w:val="22"/>
                <w:szCs w:val="22"/>
              </w:rPr>
              <w:t xml:space="preserve">[Technical trade-offs within budget]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decides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0f9ff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0284c7"/>
                <w:sz w:val="22"/>
                <w:szCs w:val="22"/>
              </w:rPr>
              <w:t xml:space="preserve">[Scope +20% or new PII]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to Sponsor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Thresholds &amp; Escalation Triggers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Trigger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Threshold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Action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Owner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Schedule slip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&gt;1 week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Hold; Driver proposes recovery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Cost variance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&gt;10% of estimate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with options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→ Sponsor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Risk severity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Critical or compliance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immediately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→ Sponsor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Signal off-target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&gt;25%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with recommendation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→ Sponsor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Threshold Actions: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Green (Expand):</w:t>
      </w:r>
      <w:r>
        <w:rPr>
          <w:rFonts w:ascii="Inter" w:cs="Inter" w:eastAsia="Inter" w:hAnsi="Inter"/>
          <w:sz w:val="22"/>
          <w:szCs w:val="22"/>
        </w:rPr>
        <w:t xml:space="preserve"> Within thresholds → Driver decides locally; inform stakeholders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Yellow (Hold):</w:t>
      </w:r>
      <w:r>
        <w:rPr>
          <w:rFonts w:ascii="Inter" w:cs="Inter" w:eastAsia="Inter" w:hAnsi="Inter"/>
          <w:sz w:val="22"/>
          <w:szCs w:val="22"/>
        </w:rPr>
        <w:t xml:space="preserve"> 10–25% off target → Driver proposes; Sponsor approves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Red (Escalate):</w:t>
      </w:r>
      <w:r>
        <w:rPr>
          <w:rFonts w:ascii="Inter" w:cs="Inter" w:eastAsia="Inter" w:hAnsi="Inter"/>
          <w:sz w:val="22"/>
          <w:szCs w:val="22"/>
        </w:rPr>
        <w:t xml:space="preserve"> &gt;25% off target OR guardrail violated → Escalate with options + recommendation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5: Advisors &amp; Advice Windows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Advisor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Role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Contact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SLA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Topic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Format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Security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48h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Data handling, auth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Checklist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Privacy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48h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Consent, retention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Checklist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Legal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72h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Terms, contracts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Review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Architecture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48h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Integration patterns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Review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SRE/Platform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24h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Alerts, runbooks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Checklist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Advice Window Protocol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1.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Driver opens</w:t>
      </w:r>
      <w:r>
        <w:rPr>
          <w:rFonts w:ascii="Inter" w:cs="Inter" w:eastAsia="Inter" w:hAnsi="Inter"/>
          <w:sz w:val="22"/>
          <w:szCs w:val="22"/>
        </w:rPr>
        <w:t xml:space="preserve"> advice window with specific questions (not open-ended)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2.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Advisors respond</w:t>
      </w:r>
      <w:r>
        <w:rPr>
          <w:rFonts w:ascii="Inter" w:cs="Inter" w:eastAsia="Inter" w:hAnsi="Inter"/>
          <w:sz w:val="22"/>
          <w:szCs w:val="22"/>
        </w:rPr>
        <w:t xml:space="preserve"> within SLA using checklists, not meetings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3.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Driver closes</w:t>
      </w:r>
      <w:r>
        <w:rPr>
          <w:rFonts w:ascii="Inter" w:cs="Inter" w:eastAsia="Inter" w:hAnsi="Inter"/>
          <w:sz w:val="22"/>
          <w:szCs w:val="22"/>
        </w:rPr>
        <w:t xml:space="preserve"> window and makes decision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4.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Decision recorded</w:t>
      </w:r>
      <w:r>
        <w:rPr>
          <w:rFonts w:ascii="Inter" w:cs="Inter" w:eastAsia="Inter" w:hAnsi="Inter"/>
          <w:sz w:val="22"/>
          <w:szCs w:val="22"/>
        </w:rPr>
        <w:t xml:space="preserve"> with rationale and links</w:t>
      </w:r>
    </w:p>
    <w:p>
      <w:pPr>
        <w:spacing w:after="200"/>
      </w:pPr>
    </w:p>
    <w:p>
      <w:pPr>
        <w:spacing w:after="20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Good advice question:</w:t>
      </w:r>
      <w:r>
        <w:rPr>
          <w:rFonts w:ascii="Inter" w:cs="Inter" w:eastAsia="Inter" w:hAnsi="Inter"/>
          <w:sz w:val="22"/>
          <w:szCs w:val="22"/>
        </w:rPr>
        <w:t xml:space="preserve"> "Does this data flow require a DPIA? Here's the flow diagram."
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Poor advice question:</w:t>
      </w:r>
      <w:r>
        <w:rPr>
          <w:rFonts w:ascii="Inter" w:cs="Inter" w:eastAsia="Inter" w:hAnsi="Inter"/>
          <w:sz w:val="22"/>
          <w:szCs w:val="22"/>
        </w:rPr>
        <w:t xml:space="preserve"> "What do you think about our approach?"</w:t>
      </w: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6: Decision Protocols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Decision Record Format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Every decision uses this five-bullet format: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1.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Context:</w:t>
      </w:r>
      <w:r>
        <w:rPr>
          <w:rFonts w:ascii="Inter" w:cs="Inter" w:eastAsia="Inter" w:hAnsi="Inter"/>
          <w:sz w:val="22"/>
          <w:szCs w:val="22"/>
        </w:rPr>
        <w:t xml:space="preserve"> What prompted this decision?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2.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Decision:</w:t>
      </w:r>
      <w:r>
        <w:rPr>
          <w:rFonts w:ascii="Inter" w:cs="Inter" w:eastAsia="Inter" w:hAnsi="Inter"/>
          <w:sz w:val="22"/>
          <w:szCs w:val="22"/>
        </w:rPr>
        <w:t xml:space="preserve"> What did we decide?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3.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Rationale:</w:t>
      </w:r>
      <w:r>
        <w:rPr>
          <w:rFonts w:ascii="Inter" w:cs="Inter" w:eastAsia="Inter" w:hAnsi="Inter"/>
          <w:sz w:val="22"/>
          <w:szCs w:val="22"/>
        </w:rPr>
        <w:t xml:space="preserve"> Why this option over alternatives?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4.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Trade-offs:</w:t>
      </w:r>
      <w:r>
        <w:rPr>
          <w:rFonts w:ascii="Inter" w:cs="Inter" w:eastAsia="Inter" w:hAnsi="Inter"/>
          <w:sz w:val="22"/>
          <w:szCs w:val="22"/>
        </w:rPr>
        <w:t xml:space="preserve"> What did we give up?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5.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Follow-ups:</w:t>
      </w:r>
      <w:r>
        <w:rPr>
          <w:rFonts w:ascii="Inter" w:cs="Inter" w:eastAsia="Inter" w:hAnsi="Inter"/>
          <w:sz w:val="22"/>
          <w:szCs w:val="22"/>
        </w:rPr>
        <w:t xml:space="preserve"> What actions remain?</w:t>
      </w:r>
    </w:p>
    <w:p>
      <w:pPr>
        <w:spacing w:after="200"/>
      </w:pPr>
    </w:p>
    <w:p>
      <w:pPr>
        <w:spacing w:after="20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Required links:</w:t>
      </w:r>
      <w:r>
        <w:rPr>
          <w:rFonts w:ascii="Inter" w:cs="Inter" w:eastAsia="Inter" w:hAnsi="Inter"/>
          <w:sz w:val="22"/>
          <w:szCs w:val="22"/>
        </w:rPr>
        <w:t xml:space="preserve"> Dashboard, relevant docs, related decision IDs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Record Example</w:t>
      </w:r>
    </w:p>
    <w:p>
      <w:pPr>
        <w:shd w:color="f4f4f5" w:val="solid"/>
        <w:spacing w:before="200" w:after="200"/>
      </w:pPr>
      <w:r>
        <w:rPr>
          <w:rFonts w:ascii="Courier New" w:cs="Courier New" w:eastAsia="Courier New" w:hAnsi="Courier New"/>
          <w:sz w:val="20"/>
          <w:szCs w:val="20"/>
        </w:rPr>
        <w:t xml:space="preserve">## DR-2025-042: Rollout Pacing
1. **Context:** Error rate elevated after 10% rollout
2. **Decision:** Hold at 10% for 48h; add circuit breaker
3. **Rationale:** User impact contained; root cause identified
4. **Trade-offs:** Delayed full rollout by 3 days
5. **Follow-ups:** Add latency alert (Bob, by Friday)
Links: [Dashboard](link) | [Incident](link) | [PR #1234](link)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Escalation Package Requirements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When escalating, include: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Current status vs. target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2–3 options with trade-offs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Driver's recommendation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Decision deadline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Impact of delay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7: Risks &amp; Dependencies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Risk / Dependency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Likelihood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Impact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Mitigation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Owner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 / M / 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 / M / 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Open / Mitigated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 / M / 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 / M / 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Open / Mitigated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 / M / 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 / M / 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Open / Mitigated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8: Feedback &amp; Review Cadence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Ritual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Frequency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Duration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Owner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Purpose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Weekly Update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Weekly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Async (&lt;200 words)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Status, decisions, signals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Contributor Sync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Weekly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30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Unblock, coordinate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Enable Council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Bi-weekly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30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Enablers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Prerequisites, SLAs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Phase Gate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At transitions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45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+ Sponsor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Go/no-go with evidence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Retrospective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End of 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60 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Improve practices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Weekly Update Template</w:t>
      </w:r>
    </w:p>
    <w:p>
      <w:pPr>
        <w:shd w:color="f4f4f5" w:val="solid"/>
        <w:spacing w:before="200" w:after="200"/>
      </w:pPr>
      <w:r>
        <w:rPr>
          <w:rFonts w:ascii="Courier New" w:cs="Courier New" w:eastAsia="Courier New" w:hAnsi="Courier New"/>
          <w:sz w:val="20"/>
          <w:szCs w:val="20"/>
        </w:rPr>
        <w:t xml:space="preserve">## [Initiative] — Week [N] Update
**Status:** On Track / At Risk / Off Track
**Decision this week:** [Expand/Hold/Iterate] — [DR-ID]
**Signals:**
- [Leading signal]: [current] vs. [target] — [status]
- [Lagging signal]: [current] vs. [baseline] — [status]
**Guardrails:** [All green / Issue: brief description]
**Next week:**
- [Action 1]
- [Action 2]
**Links:** [Dashboard] | [Decision Record] | [Gate Pre-read]</w:t>
      </w: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Part 9: Signatures &amp; Acknowledgment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By signing, we agree to: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Abide by the decision rights and thresholds in this POP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Escalate when triggers are met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Update this POP at phase transitions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• </w:t>
      </w:r>
      <w:r>
        <w:rPr>
          <w:rFonts w:ascii="Inter" w:cs="Inter" w:eastAsia="Inter" w:hAnsi="Inter"/>
          <w:sz w:val="22"/>
          <w:szCs w:val="22"/>
        </w:rPr>
        <w:t xml:space="preserve">Record decisions in the standard format</w:t>
      </w:r>
    </w:p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Role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Name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Signature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Date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Sponsor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Discover 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Decide 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Build 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Run 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Adopt 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Enable Lead(s)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Worked Examples</w:t>
      </w: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Example 1: Product Initiative (Self-Serve Onboarding)</w:t>
      </w:r>
    </w:p>
    <w:p>
      <w:pPr>
        <w:spacing w:after="20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Initiative:</w:t>
      </w:r>
      <w:r>
        <w:rPr>
          <w:rFonts w:ascii="Inter" w:cs="Inter" w:eastAsia="Inter" w:hAnsi="Inter"/>
          <w:sz w:val="22"/>
          <w:szCs w:val="22"/>
        </w:rPr>
        <w:t xml:space="preserve"> Self-serve onboarding for new accounts
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Outcome:</w:t>
      </w:r>
      <w:r>
        <w:rPr>
          <w:rFonts w:ascii="Inter" w:cs="Inter" w:eastAsia="Inter" w:hAnsi="Inter"/>
          <w:sz w:val="22"/>
          <w:szCs w:val="22"/>
        </w:rPr>
        <w:t xml:space="preserve"> New accounts reach first value in ≤10 min without assistance, with 20% activation lift by day 7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Key Threshold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Discover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Product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Discovery complete when problem clarity score ≥4/5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Decide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Product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Decide when 3+ options evaluated with trade-offs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Build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Tech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if error-budget burn &gt;35% or cost +10%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Run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SRE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if MTTR &gt;30 min or incident rate doubles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Adopt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Product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Scale when activation delta credible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Example 2: Platform Migration</w:t>
      </w:r>
    </w:p>
    <w:p>
      <w:pPr>
        <w:spacing w:after="20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Initiative:</w:t>
      </w:r>
      <w:r>
        <w:rPr>
          <w:rFonts w:ascii="Inter" w:cs="Inter" w:eastAsia="Inter" w:hAnsi="Inter"/>
          <w:sz w:val="22"/>
          <w:szCs w:val="22"/>
        </w:rPr>
        <w:t xml:space="preserve"> Migrate payment service to new platform
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Outcome:</w:t>
      </w:r>
      <w:r>
        <w:rPr>
          <w:rFonts w:ascii="Inter" w:cs="Inter" w:eastAsia="Inter" w:hAnsi="Inter"/>
          <w:sz w:val="22"/>
          <w:szCs w:val="22"/>
        </w:rPr>
        <w:t xml:space="preserve"> Zero-downtime migration with &lt;0.1% transaction failure rate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Key Threshold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Discover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Architecture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Discovery complete when risk assessment approved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Decide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Engineering Director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Decide when cost model validated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Build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Migration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if test coverage &lt;95% or latency +20%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Run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SRE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if error rate &gt;0.05% during cutover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Adopt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Platform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Scale when 30-day stability confirmed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Example 3: Compliance Change</w:t>
      </w:r>
    </w:p>
    <w:p>
      <w:pPr>
        <w:spacing w:after="20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Initiative:</w:t>
      </w:r>
      <w:r>
        <w:rPr>
          <w:rFonts w:ascii="Inter" w:cs="Inter" w:eastAsia="Inter" w:hAnsi="Inter"/>
          <w:sz w:val="22"/>
          <w:szCs w:val="22"/>
        </w:rPr>
        <w:t xml:space="preserve"> Implement data retention policy
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Outcome:</w:t>
      </w:r>
      <w:r>
        <w:rPr>
          <w:rFonts w:ascii="Inter" w:cs="Inter" w:eastAsia="Inter" w:hAnsi="Inter"/>
          <w:sz w:val="22"/>
          <w:szCs w:val="22"/>
        </w:rPr>
        <w:t xml:space="preserve"> Zero critical violations with stable portal NPS (±5 points)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Driver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Key Threshold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Discover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Compliance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Discovery complete when all data flows mapped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Decide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Legal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Decide when policy approved by counsel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Build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Engineering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if any PII flow undocumented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Run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Ops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Escalate if retention job SLO &lt;99.9%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Adopt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Compliance Lead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Scale when audit confirms zero findings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Common Failure Modes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Anti-Pattern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Symptom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Fix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Co-Drivers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Two people share authority; decisions stall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Name one Driver per phase; other becomes Advisor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Advice creep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Open-ended input windows; meetings proliferate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Explicit questions with SLAs; link-only responses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Escalation by opinion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"I think this is important" triggers escalation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Publish numeric thresholds; require options + recommendation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Vague thresholds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"Major" or "significant" language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Use numbers: +10%, &gt;25%, &gt;1 week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Stale POP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Same document from kickoff to launch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Refresh at phase transitions; tune monthly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Shadow boards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Decisions made in side conversations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Reference DR IDs in weeklies; audit decision log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POP Effectiveness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Metric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Target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How to Measure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Decision latency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≤48h from raised to recorded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Track time from question to DR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Escalation rate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Trending down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Count escalations per phase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Advice turnaround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Within SLA (24–72h)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Track response times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Re-litigation rate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&lt;10% of decisions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Count decisions revisited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POP refresh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At every phase gate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Audit update timestamps</w:t>
            </w:r>
          </w:p>
        </w:tc>
      </w:tr>
    </w:tbl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Quick-Start: 15-Minute POP</w:t>
      </w: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If you don't have time for a full POP workshop: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504" w:hRule="atLeast"/>
        </w:trPr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Min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Step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0369a1" w:sz="8"/>
              <w:right w:val="single" w:color="d4d4d8" w:sz="4"/>
            </w:tcBorders>
            <w:shd w:color="0284c7" w:val="solid"/>
            <w:tcMar>
              <w:top w:type="dxa" w:w="72"/>
              <w:left w:type="dxa" w:w="115"/>
              <w:bottom w:type="dxa" w:w="72"/>
              <w:right w:type="dxa" w:w="115"/>
            </w:tcMar>
            <w:vAlign w:val="center"/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Output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0–3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State outcome and name Sponsor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One-sentence outcome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3–6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Name Driver for first phase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Driver with authority scope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6–9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Set one threshold and action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"If X exceeds Y, escalate"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9–12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Identify one Enabler and one Advisor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afafa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Names with SLAs</w:t>
            </w:r>
          </w:p>
        </w:tc>
      </w:tr>
      <w:tr>
        <w:trPr>
          <w:trHeight w:val="431" w:hRule="atLeast"/>
        </w:trPr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color="f4f4f5" w:val="solid"/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/>
                <w:bCs/>
                <w:i w:val="false"/>
                <w:iCs w:val="false"/>
                <w:color w:val="1f2937"/>
                <w:sz w:val="22"/>
                <w:szCs w:val="22"/>
              </w:rPr>
              <w:t xml:space="preserve">12–15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Set first review date</w:t>
            </w:r>
          </w:p>
        </w:tc>
        <w:tc>
          <w:tcPr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57"/>
              <w:left w:type="dxa" w:w="115"/>
              <w:bottom w:type="dxa" w:w="57"/>
              <w:right w:type="dxa" w:w="115"/>
            </w:tcMar>
            <w:vAlign w:val="center"/>
          </w:tcPr>
          <w:p>
            <w:pPr>
              <w:jc w:val="left"/>
            </w:pPr>
            <w:r>
              <w:rPr>
                <w:rFonts w:ascii="Inter" w:cs="Inter" w:eastAsia="Inter" w:hAnsi="Inter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Date on calendar</w:t>
            </w:r>
          </w:p>
        </w:tc>
      </w:tr>
    </w:tbl>
    <w:p>
      <w:pPr>
        <w:spacing w:after="200"/>
      </w:pPr>
    </w:p>
    <w:p>
      <w:pPr>
        <w:spacing w:after="200"/>
      </w:pPr>
      <w:r>
        <w:rPr>
          <w:rFonts w:ascii="Inter" w:cs="Inter" w:eastAsia="Inter" w:hAnsi="Inter"/>
          <w:sz w:val="22"/>
          <w:szCs w:val="22"/>
        </w:rPr>
        <w:t xml:space="preserve">Expand to full POP at first phase gate.</w:t>
      </w:r>
    </w:p>
    <w:p>
      <w:pPr>
        <w:pBdr>
          <w:bottom w:val="single" w:color="e5e7eb" w:sz="6"/>
        </w:pBdr>
        <w:spacing w:before="300" w:after="300"/>
      </w:pPr>
    </w:p>
    <w:p>
      <w:pPr>
        <w:pStyle w:val="Heading2"/>
        <w:spacing w:before="300" w:after="150"/>
      </w:pPr>
      <w:r>
        <w:rPr>
          <w:rFonts w:ascii="Inter" w:cs="Inter" w:eastAsia="Inter" w:hAnsi="Inter"/>
          <w:b/>
          <w:bCs/>
          <w:color w:val="1f2937"/>
        </w:rPr>
        <w:t xml:space="preserve">Next Steps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1.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Complete this POP</w:t>
      </w:r>
      <w:r>
        <w:rPr>
          <w:rFonts w:ascii="Inter" w:cs="Inter" w:eastAsia="Inter" w:hAnsi="Inter"/>
          <w:sz w:val="22"/>
          <w:szCs w:val="22"/>
        </w:rPr>
        <w:t xml:space="preserve"> with Driver, Sponsor, and key Contributors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2.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Publish</w:t>
      </w:r>
      <w:r>
        <w:rPr>
          <w:rFonts w:ascii="Inter" w:cs="Inter" w:eastAsia="Inter" w:hAnsi="Inter"/>
          <w:sz w:val="22"/>
          <w:szCs w:val="22"/>
        </w:rPr>
        <w:t xml:space="preserve"> in your initiative wiki; link from weekly updates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3.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Review at phase gates</w:t>
      </w:r>
      <w:r>
        <w:rPr>
          <w:rFonts w:ascii="Inter" w:cs="Inter" w:eastAsia="Inter" w:hAnsi="Inter"/>
          <w:sz w:val="22"/>
          <w:szCs w:val="22"/>
        </w:rPr>
        <w:t xml:space="preserve"> and update Drivers/thresholds as needed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4.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Tune monthly</w:t>
      </w:r>
      <w:r>
        <w:rPr>
          <w:rFonts w:ascii="Inter" w:cs="Inter" w:eastAsia="Inter" w:hAnsi="Inter"/>
          <w:sz w:val="22"/>
          <w:szCs w:val="22"/>
        </w:rPr>
        <w:t xml:space="preserve"> based on decision latency and escalation patterns</w:t>
      </w:r>
    </w:p>
    <w:p>
      <w:pPr>
        <w:spacing w:after="80"/>
        <w:ind w:left="720" w:hanging="360"/>
      </w:pPr>
      <w:r>
        <w:rPr>
          <w:sz w:val="22"/>
          <w:szCs w:val="22"/>
        </w:rPr>
        <w:t xml:space="preserve">5. </w:t>
      </w:r>
      <w:r>
        <w:rPr>
          <w:rFonts w:ascii="Inter" w:cs="Inter" w:eastAsia="Inter" w:hAnsi="Inter"/>
          <w:b/>
          <w:bCs/>
          <w:sz w:val="22"/>
          <w:szCs w:val="22"/>
        </w:rPr>
        <w:t xml:space="preserve">Retrospect</w:t>
      </w:r>
      <w:r>
        <w:rPr>
          <w:rFonts w:ascii="Inter" w:cs="Inter" w:eastAsia="Inter" w:hAnsi="Inter"/>
          <w:sz w:val="22"/>
          <w:szCs w:val="22"/>
        </w:rPr>
        <w:t xml:space="preserve"> at initiative end; codify practices for next team</w:t>
      </w:r>
    </w:p>
    <w:p>
      <w:pPr>
        <w:spacing w:after="200"/>
      </w:pPr>
    </w:p>
    <w:p>
      <w:pPr>
        <w:pBdr>
          <w:bottom w:val="single" w:color="e5e7eb" w:sz="6"/>
        </w:pBdr>
        <w:spacing w:before="300" w:after="300"/>
      </w:pPr>
    </w:p>
    <w:p>
      <w:pPr>
        <w:spacing w:after="200"/>
      </w:pPr>
      <w:r>
        <w:rPr>
          <w:rFonts w:ascii="Inter" w:cs="Inter" w:eastAsia="Inter" w:hAnsi="Inter"/>
          <w:i/>
          <w:iCs/>
          <w:sz w:val="22"/>
          <w:szCs w:val="22"/>
        </w:rPr>
        <w:t xml:space="preserve">Use this template with the Charters &amp; Matrices guide in the C2O Knowledge Base for facilitation scripts and additional examples.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6"/>
      </w:pBdr>
      <w:spacing w:before="200"/>
    </w:pPr>
    <w:r>
      <w:rPr>
        <w:rFonts w:ascii="Inter" w:cs="Inter" w:eastAsia="Inter" w:hAnsi="Inter"/>
        <w:color w:val="9ca3af"/>
        <w:sz w:val="14"/>
        <w:szCs w:val="14"/>
      </w:rPr>
      <w:t xml:space="preserve">© 2025 Stark Burns. Part of the C2O – Contribution 2 Outcome framework. See https://contribution2outcome.com/copyright for permitted uses.</w:t>
    </w:r>
    <w:r>
      <w:rPr>
        <w:rFonts w:ascii="Inter" w:cs="Inter" w:eastAsia="Inter" w:hAnsi="Inter"/>
        <w:color w:val="9ca3af"/>
        <w:sz w:val="16"/>
        <w:szCs w:val="16"/>
      </w:rPr>
      <w:t xml:space="preserve">  |  Source: </w:t>
    </w:r>
    <w:hyperlink w:history="1" r:id="rIdwpyx3f7_jle4dp0x8nzga">
      <w:r>
        <w:rPr>
          <w:rFonts w:ascii="Inter" w:cs="Inter" w:eastAsia="Inter" w:hAnsi="Inter"/>
          <w:color w:val="0284c7"/>
          <w:sz w:val="16"/>
          <w:szCs w:val="16"/>
          <w:u w:val="single"/>
        </w:rPr>
        <w:t xml:space="preserve">contribution2outcome.com/kb/framework-method/decision-rights/charters-and-matrices</w:t>
      </w:r>
    </w:hyperlink>
    <w:r>
      <w:t xml:space="preserve">		</w:t>
    </w:r>
    <w:r>
      <w:rPr>
        <w:color w:val="6b72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6"/>
      </w:pBdr>
      <w:spacing w:after="200"/>
    </w:pPr>
    <w:r>
      <w:rPr>
        <w:rFonts w:ascii="Inter" w:cs="Inter" w:eastAsia="Inter" w:hAnsi="Inter"/>
        <w:b/>
        <w:bCs/>
        <w:color w:val="0284c7"/>
        <w:sz w:val="20"/>
        <w:szCs w:val="20"/>
      </w:rPr>
      <w:t xml:space="preserve">C2O</w:t>
    </w:r>
    <w:r>
      <w:rPr>
        <w:rFonts w:ascii="Inter" w:cs="Inter" w:eastAsia="Inter" w:hAnsi="Inter"/>
        <w:color w:val="6b7280"/>
        <w:sz w:val="18"/>
        <w:szCs w:val="18"/>
      </w:rPr>
      <w:t xml:space="preserve">  |  Pre-emptive Ownership Pact (POP)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00" w:after="200"/>
    </w:pPr>
    <w:rPr>
      <w:rFonts w:ascii="Inter" w:cs="Inter" w:eastAsia="Inter" w:hAnsi="Inter"/>
      <w:b/>
      <w:bCs/>
      <w:color w:val="0369a1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</w:pPr>
    <w:rPr>
      <w:rFonts w:ascii="Inter" w:cs="Inter" w:eastAsia="Inter" w:hAnsi="Inter"/>
      <w:b/>
      <w:bCs/>
      <w:color w:val="0284c7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120"/>
    </w:pPr>
    <w:rPr>
      <w:rFonts w:ascii="Inter" w:cs="Inter" w:eastAsia="Inter" w:hAnsi="Inter"/>
      <w:b/>
      <w:bCs/>
      <w:color w:val="1f2937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line="276" w:after="160"/>
    </w:pPr>
    <w:rPr>
      <w:rFonts w:ascii="Inter" w:cs="Inter" w:eastAsia="Inter" w:hAnsi="Inter"/>
      <w:sz w:val="22"/>
      <w:szCs w:val="22"/>
    </w:rPr>
  </w:style>
  <w:style w:type="paragraph" w:styleId="FormField">
    <w:name w:val="Form Field"/>
    <w:basedOn w:val="Normal"/>
    <w:pPr>
      <w:shd w:color="f0f9ff" w:val="solid"/>
    </w:pPr>
    <w:rPr>
      <w:rFonts w:ascii="Inter" w:cs="Inter" w:eastAsia="Inter" w:hAnsi="Inter"/>
      <w:i/>
      <w:iCs/>
      <w:color w:val="0284c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7zr8kd0fmglwez1uknp3q" Type="http://schemas.openxmlformats.org/officeDocument/2006/relationships/hyperlink" Target="https://contribution2outcome.com/kb/framework-method/decision-rights/charters-and-matrices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wpyx3f7_jle4dp0x8nzga" Type="http://schemas.openxmlformats.org/officeDocument/2006/relationships/hyperlink" Target="https://contribution2outcome.com/kb/framework-method/decision-rights/charters-and-matric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Pre-emptive Ownership Pact (POP)</dc:title>
  <dc:subject>Governance template for outcome alignment</dc:subject>
  <dc:creator>Contribution 2 Outcome</dc:creator>
  <cp:keywords>C2O, Contribution 2 Outcome, template</cp:keywords>
  <dc:description>Fillable template for creating Pre-emptive Ownership Pacts with decision protocols.</dc:description>
  <cp:lastModifiedBy>Stark Burns</cp:lastModifiedBy>
  <cp:revision>1</cp:revision>
  <dcterms:created xsi:type="dcterms:W3CDTF">2025-12-17T13:20:56.526Z</dcterms:created>
  <dcterms:modified xsi:type="dcterms:W3CDTF">2025-12-17T13:20:56.526Z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